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1" w:rightFromText="141" w:vertAnchor="text" w:horzAnchor="margin" w:tblpXSpec="center" w:tblpY="-1920"/>
        <w:tblW w:w="9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tblPr>
      <w:tblGrid>
        <w:gridCol w:w="3832"/>
        <w:gridCol w:w="2023"/>
        <w:gridCol w:w="4045"/>
      </w:tblGrid>
      <w:tr w:rsidR="00B82D39" w:rsidRPr="008551D7" w:rsidTr="00B82D39">
        <w:trPr>
          <w:trHeight w:val="1350"/>
        </w:trPr>
        <w:tc>
          <w:tcPr>
            <w:tcW w:w="3832" w:type="dxa"/>
          </w:tcPr>
          <w:p w:rsidR="00B82D39" w:rsidRPr="008551D7" w:rsidRDefault="00B82D39" w:rsidP="00B82D39">
            <w:pPr>
              <w:pStyle w:val="Heading1"/>
              <w:jc w:val="right"/>
              <w:outlineLvl w:val="0"/>
              <w:rPr>
                <w:rFonts w:ascii="Times New Roman" w:hAnsi="Times New Roman" w:cs="Times New Roman"/>
                <w:sz w:val="20"/>
                <w:szCs w:val="20"/>
                <w:lang w:val="en-GB"/>
              </w:rPr>
            </w:pPr>
            <w:proofErr w:type="gramStart"/>
            <w:r w:rsidRPr="008551D7">
              <w:rPr>
                <w:rFonts w:ascii="Times New Roman" w:hAnsi="Times New Roman" w:cs="Times New Roman"/>
                <w:sz w:val="20"/>
                <w:szCs w:val="20"/>
              </w:rPr>
              <w:t>ОБЩИНА  Х</w:t>
            </w:r>
            <w:proofErr w:type="gramEnd"/>
            <w:r w:rsidRPr="008551D7">
              <w:rPr>
                <w:rFonts w:ascii="Times New Roman" w:hAnsi="Times New Roman" w:cs="Times New Roman"/>
                <w:sz w:val="20"/>
                <w:szCs w:val="20"/>
              </w:rPr>
              <w:t xml:space="preserve"> И Т Р И Н О                           9780 </w:t>
            </w:r>
            <w:proofErr w:type="spellStart"/>
            <w:r w:rsidRPr="008551D7">
              <w:rPr>
                <w:rFonts w:ascii="Times New Roman" w:hAnsi="Times New Roman" w:cs="Times New Roman"/>
                <w:sz w:val="20"/>
                <w:szCs w:val="20"/>
              </w:rPr>
              <w:t>Хитрино</w:t>
            </w:r>
            <w:proofErr w:type="spellEnd"/>
            <w:r w:rsidRPr="008551D7">
              <w:rPr>
                <w:rFonts w:ascii="Times New Roman" w:hAnsi="Times New Roman" w:cs="Times New Roman"/>
                <w:sz w:val="20"/>
                <w:szCs w:val="20"/>
              </w:rPr>
              <w:t xml:space="preserve">, </w:t>
            </w:r>
            <w:proofErr w:type="spellStart"/>
            <w:r w:rsidRPr="008551D7">
              <w:rPr>
                <w:rFonts w:ascii="Times New Roman" w:hAnsi="Times New Roman" w:cs="Times New Roman"/>
                <w:sz w:val="20"/>
                <w:szCs w:val="20"/>
              </w:rPr>
              <w:t>ул</w:t>
            </w:r>
            <w:proofErr w:type="spellEnd"/>
            <w:r w:rsidRPr="008551D7">
              <w:rPr>
                <w:rFonts w:ascii="Times New Roman" w:hAnsi="Times New Roman" w:cs="Times New Roman"/>
                <w:sz w:val="20"/>
                <w:szCs w:val="20"/>
              </w:rPr>
              <w:t>.”</w:t>
            </w:r>
            <w:proofErr w:type="spellStart"/>
            <w:r w:rsidRPr="008551D7">
              <w:rPr>
                <w:rFonts w:ascii="Times New Roman" w:hAnsi="Times New Roman" w:cs="Times New Roman"/>
                <w:sz w:val="20"/>
                <w:szCs w:val="20"/>
              </w:rPr>
              <w:t>Възраждане</w:t>
            </w:r>
            <w:proofErr w:type="spellEnd"/>
            <w:r w:rsidRPr="008551D7">
              <w:rPr>
                <w:rFonts w:ascii="Times New Roman" w:hAnsi="Times New Roman" w:cs="Times New Roman"/>
                <w:sz w:val="20"/>
                <w:szCs w:val="20"/>
              </w:rPr>
              <w:t xml:space="preserve">” № 45   </w:t>
            </w:r>
            <w:proofErr w:type="spellStart"/>
            <w:proofErr w:type="gramStart"/>
            <w:r w:rsidRPr="008551D7">
              <w:rPr>
                <w:rFonts w:ascii="Times New Roman" w:hAnsi="Times New Roman" w:cs="Times New Roman"/>
                <w:sz w:val="20"/>
                <w:szCs w:val="20"/>
              </w:rPr>
              <w:t>тел</w:t>
            </w:r>
            <w:proofErr w:type="spellEnd"/>
            <w:r w:rsidRPr="008551D7">
              <w:rPr>
                <w:rFonts w:ascii="Times New Roman" w:hAnsi="Times New Roman" w:cs="Times New Roman"/>
                <w:sz w:val="20"/>
                <w:szCs w:val="20"/>
              </w:rPr>
              <w:t>.:</w:t>
            </w:r>
            <w:proofErr w:type="gramEnd"/>
            <w:r w:rsidRPr="008551D7">
              <w:rPr>
                <w:rFonts w:ascii="Times New Roman" w:hAnsi="Times New Roman" w:cs="Times New Roman"/>
                <w:sz w:val="20"/>
                <w:szCs w:val="20"/>
              </w:rPr>
              <w:t xml:space="preserve"> 05341 2250, факс:05341 2120  </w:t>
            </w:r>
            <w:r>
              <w:rPr>
                <w:rFonts w:ascii="Times New Roman" w:hAnsi="Times New Roman" w:cs="Times New Roman"/>
                <w:sz w:val="20"/>
                <w:szCs w:val="20"/>
                <w:lang w:val="bg-BG"/>
              </w:rPr>
              <w:br/>
            </w:r>
            <w:r w:rsidRPr="008551D7">
              <w:rPr>
                <w:rFonts w:ascii="Times New Roman" w:hAnsi="Times New Roman" w:cs="Times New Roman"/>
                <w:sz w:val="20"/>
                <w:szCs w:val="20"/>
              </w:rPr>
              <w:t>e-</w:t>
            </w:r>
            <w:r w:rsidRPr="008551D7">
              <w:rPr>
                <w:rFonts w:ascii="Times New Roman" w:hAnsi="Times New Roman" w:cs="Times New Roman"/>
                <w:sz w:val="20"/>
                <w:szCs w:val="20"/>
                <w:lang w:val="en-GB"/>
              </w:rPr>
              <w:t xml:space="preserve"> </w:t>
            </w:r>
            <w:r w:rsidRPr="008551D7">
              <w:rPr>
                <w:rFonts w:ascii="Times New Roman" w:hAnsi="Times New Roman" w:cs="Times New Roman"/>
                <w:sz w:val="20"/>
                <w:szCs w:val="20"/>
              </w:rPr>
              <w:t xml:space="preserve">mail: </w:t>
            </w:r>
            <w:hyperlink r:id="rId5" w:history="1">
              <w:r w:rsidRPr="008551D7">
                <w:rPr>
                  <w:rStyle w:val="Hyperlink"/>
                  <w:rFonts w:ascii="Times New Roman" w:hAnsi="Times New Roman" w:cs="Times New Roman"/>
                  <w:sz w:val="20"/>
                  <w:szCs w:val="20"/>
                </w:rPr>
                <w:t>kmet</w:t>
              </w:r>
              <w:r w:rsidRPr="008551D7">
                <w:rPr>
                  <w:rStyle w:val="Hyperlink"/>
                  <w:rFonts w:ascii="Times New Roman" w:hAnsi="Times New Roman" w:cs="Times New Roman"/>
                  <w:sz w:val="20"/>
                  <w:szCs w:val="20"/>
                  <w:lang w:val="en-GB"/>
                </w:rPr>
                <w:t>@</w:t>
              </w:r>
              <w:r w:rsidRPr="008551D7">
                <w:rPr>
                  <w:rStyle w:val="Hyperlink"/>
                  <w:rFonts w:ascii="Times New Roman" w:hAnsi="Times New Roman" w:cs="Times New Roman"/>
                  <w:sz w:val="20"/>
                  <w:szCs w:val="20"/>
                </w:rPr>
                <w:t>hitrino</w:t>
              </w:r>
              <w:r w:rsidRPr="008551D7">
                <w:rPr>
                  <w:rStyle w:val="Hyperlink"/>
                  <w:rFonts w:ascii="Times New Roman" w:hAnsi="Times New Roman" w:cs="Times New Roman"/>
                  <w:sz w:val="20"/>
                  <w:szCs w:val="20"/>
                  <w:lang w:val="en-GB"/>
                </w:rPr>
                <w:t>.</w:t>
              </w:r>
              <w:r w:rsidRPr="008551D7">
                <w:rPr>
                  <w:rStyle w:val="Hyperlink"/>
                  <w:rFonts w:ascii="Times New Roman" w:hAnsi="Times New Roman" w:cs="Times New Roman"/>
                  <w:sz w:val="20"/>
                  <w:szCs w:val="20"/>
                </w:rPr>
                <w:t>org</w:t>
              </w:r>
            </w:hyperlink>
          </w:p>
        </w:tc>
        <w:tc>
          <w:tcPr>
            <w:tcW w:w="2023" w:type="dxa"/>
          </w:tcPr>
          <w:p w:rsidR="00B82D39" w:rsidRPr="008551D7" w:rsidRDefault="00B82D39" w:rsidP="00B82D39">
            <w:pPr>
              <w:pStyle w:val="Heading1"/>
              <w:jc w:val="center"/>
              <w:outlineLvl w:val="0"/>
              <w:rPr>
                <w:rFonts w:ascii="Times New Roman" w:hAnsi="Times New Roman" w:cs="Times New Roman"/>
                <w:sz w:val="20"/>
                <w:szCs w:val="20"/>
                <w:lang w:val="ru-RU"/>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222250</wp:posOffset>
                  </wp:positionH>
                  <wp:positionV relativeFrom="paragraph">
                    <wp:posOffset>85725</wp:posOffset>
                  </wp:positionV>
                  <wp:extent cx="676275" cy="6762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p>
        </w:tc>
        <w:tc>
          <w:tcPr>
            <w:tcW w:w="4045" w:type="dxa"/>
          </w:tcPr>
          <w:p w:rsidR="00B82D39" w:rsidRPr="008551D7" w:rsidRDefault="00B82D39" w:rsidP="00B82D39">
            <w:pPr>
              <w:jc w:val="both"/>
              <w:rPr>
                <w:b/>
                <w:sz w:val="20"/>
                <w:szCs w:val="20"/>
              </w:rPr>
            </w:pPr>
          </w:p>
          <w:p w:rsidR="00B82D39" w:rsidRPr="008551D7" w:rsidRDefault="00B82D39" w:rsidP="00B82D39">
            <w:pPr>
              <w:jc w:val="both"/>
              <w:rPr>
                <w:b/>
                <w:sz w:val="20"/>
                <w:szCs w:val="20"/>
              </w:rPr>
            </w:pPr>
            <w:smartTag w:uri="urn:schemas-microsoft-com:office:smarttags" w:element="place">
              <w:smartTag w:uri="urn:schemas-microsoft-com:office:smarttags" w:element="PlaceType">
                <w:r w:rsidRPr="008551D7">
                  <w:rPr>
                    <w:b/>
                    <w:sz w:val="20"/>
                    <w:szCs w:val="20"/>
                  </w:rPr>
                  <w:t>MUNICIPALITY</w:t>
                </w:r>
              </w:smartTag>
              <w:r w:rsidRPr="008551D7">
                <w:rPr>
                  <w:b/>
                  <w:sz w:val="20"/>
                  <w:szCs w:val="20"/>
                </w:rPr>
                <w:t xml:space="preserve"> OF  </w:t>
              </w:r>
              <w:smartTag w:uri="urn:schemas-microsoft-com:office:smarttags" w:element="PlaceName">
                <w:r w:rsidRPr="008551D7">
                  <w:rPr>
                    <w:b/>
                    <w:sz w:val="20"/>
                    <w:szCs w:val="20"/>
                  </w:rPr>
                  <w:t>H</w:t>
                </w:r>
              </w:smartTag>
            </w:smartTag>
            <w:r w:rsidRPr="008551D7">
              <w:rPr>
                <w:b/>
                <w:sz w:val="20"/>
                <w:szCs w:val="20"/>
              </w:rPr>
              <w:t xml:space="preserve"> I T R I N O </w:t>
            </w:r>
          </w:p>
          <w:p w:rsidR="00B82D39" w:rsidRPr="008551D7" w:rsidRDefault="00B82D39" w:rsidP="00B82D39">
            <w:pPr>
              <w:jc w:val="both"/>
              <w:rPr>
                <w:b/>
                <w:sz w:val="20"/>
                <w:szCs w:val="20"/>
              </w:rPr>
            </w:pPr>
            <w:r w:rsidRPr="008551D7">
              <w:rPr>
                <w:b/>
                <w:sz w:val="20"/>
                <w:szCs w:val="20"/>
              </w:rPr>
              <w:t xml:space="preserve">Bulgaria, 9780 Hitrino, 45 Vazrazhdane Str. tel.: 05341 2250, fax.: 05341 2120 </w:t>
            </w:r>
          </w:p>
          <w:p w:rsidR="00B82D39" w:rsidRPr="008551D7" w:rsidRDefault="00B82D39" w:rsidP="00B82D39">
            <w:pPr>
              <w:jc w:val="both"/>
              <w:rPr>
                <w:b/>
                <w:sz w:val="20"/>
                <w:szCs w:val="20"/>
              </w:rPr>
            </w:pPr>
            <w:r w:rsidRPr="008551D7">
              <w:rPr>
                <w:b/>
                <w:sz w:val="20"/>
                <w:szCs w:val="20"/>
              </w:rPr>
              <w:t>e-mail: kmet@hitrino.org</w:t>
            </w:r>
          </w:p>
        </w:tc>
      </w:tr>
    </w:tbl>
    <w:p w:rsidR="00B82D39" w:rsidRDefault="00B82D39" w:rsidP="00B82D39">
      <w:pPr>
        <w:rPr>
          <w:lang w:val="en-US"/>
        </w:rPr>
      </w:pPr>
    </w:p>
    <w:p w:rsidR="00B82D39" w:rsidRDefault="00B82D39" w:rsidP="00B82D39">
      <w:pPr>
        <w:ind w:firstLine="709"/>
        <w:jc w:val="both"/>
        <w:rPr>
          <w:b/>
          <w:lang w:eastAsia="en-US"/>
        </w:rPr>
      </w:pPr>
    </w:p>
    <w:p w:rsidR="00F00BC3" w:rsidRDefault="00F00BC3" w:rsidP="00F00BC3">
      <w:pPr>
        <w:jc w:val="center"/>
        <w:rPr>
          <w:b/>
          <w:u w:val="single"/>
          <w:lang w:eastAsia="en-US"/>
        </w:rPr>
      </w:pPr>
      <w:r>
        <w:rPr>
          <w:b/>
          <w:u w:val="single"/>
          <w:lang w:eastAsia="en-US"/>
        </w:rPr>
        <w:t>МОТИВИ:</w:t>
      </w:r>
    </w:p>
    <w:p w:rsidR="00F00BC3" w:rsidRDefault="00F00BC3" w:rsidP="00F00BC3">
      <w:pPr>
        <w:ind w:firstLine="709"/>
        <w:jc w:val="both"/>
        <w:rPr>
          <w:lang w:eastAsia="en-US"/>
        </w:rPr>
      </w:pPr>
    </w:p>
    <w:p w:rsidR="00F00BC3" w:rsidRDefault="00F00BC3" w:rsidP="00F00BC3">
      <w:pPr>
        <w:ind w:firstLine="709"/>
        <w:jc w:val="both"/>
        <w:rPr>
          <w:b/>
        </w:rPr>
      </w:pPr>
      <w:r>
        <w:rPr>
          <w:b/>
          <w:lang w:val="en-US" w:eastAsia="en-US"/>
        </w:rPr>
        <w:t xml:space="preserve">I. </w:t>
      </w:r>
      <w:r>
        <w:rPr>
          <w:b/>
          <w:lang w:eastAsia="en-US"/>
        </w:rPr>
        <w:t xml:space="preserve">Причини, които налагат приемане на изменения и допълнения на </w:t>
      </w:r>
      <w:r w:rsidRPr="00F00BC3">
        <w:rPr>
          <w:b/>
        </w:rPr>
        <w:t>Наредба за управление на отпадъците на територията на община Хитрино</w:t>
      </w:r>
      <w:r>
        <w:rPr>
          <w:b/>
        </w:rPr>
        <w:t>.</w:t>
      </w:r>
    </w:p>
    <w:p w:rsidR="00F00BC3" w:rsidRDefault="00F00BC3" w:rsidP="00F00BC3">
      <w:pPr>
        <w:ind w:firstLine="709"/>
        <w:jc w:val="both"/>
      </w:pPr>
      <w:r w:rsidRPr="001C3932">
        <w:t>Наредба</w:t>
      </w:r>
      <w:r>
        <w:t>та</w:t>
      </w:r>
      <w:r w:rsidRPr="001C3932">
        <w:t xml:space="preserve"> за управление на отпадъците на територията на община Хитрино</w:t>
      </w:r>
      <w:r>
        <w:t xml:space="preserve"> е приета с </w:t>
      </w:r>
      <w:r w:rsidRPr="001C3932">
        <w:t>решение № 76 по Протокол № 7/09.10.2014 г.</w:t>
      </w:r>
      <w:r>
        <w:t xml:space="preserve">, т. 5, </w:t>
      </w:r>
      <w:r w:rsidRPr="001C3932">
        <w:t>на заседание на Общински съвет</w:t>
      </w:r>
      <w:r>
        <w:t>. С нормите на чл. 21; чл. 26, ал. 1, т. 2; чл. 29, т. 1; чл. 41; чл. 44, ал. 1, т. 1; чл. 50; чл. 62, т. 2 от действащата към момента Наредба е въведен начин за събиране и транспортиране на масово разпр</w:t>
      </w:r>
      <w:r w:rsidR="00BB60AF">
        <w:t>остранени отпадъци</w:t>
      </w:r>
      <w:r w:rsidR="00BB60AF">
        <w:rPr>
          <w:lang w:val="en-US"/>
        </w:rPr>
        <w:t xml:space="preserve">, </w:t>
      </w:r>
      <w:r w:rsidR="00BB60AF">
        <w:t xml:space="preserve">а именно </w:t>
      </w:r>
      <w:r>
        <w:t>лицензионен (разрешителен) режим. С това се създават предпоставки за неправилно приложение на подзаконовата нормативна уредба, действаща на територията на Община Хитрино.</w:t>
      </w:r>
    </w:p>
    <w:p w:rsidR="00F00BC3" w:rsidRDefault="00F00BC3" w:rsidP="00F00BC3">
      <w:pPr>
        <w:ind w:firstLine="709"/>
        <w:jc w:val="both"/>
      </w:pPr>
      <w:r>
        <w:t xml:space="preserve">Това налага синхронизиране на Наредбата с действащата нормативна уредба от по-висша степен, като бъде предвидено, че по отношение на начина за събиране и  транспортиране на масово разпространени отпадъци, ще бъде приложен регистрационен режим в съответствие с разпоредбите на чл. 35, ал. 2, ал. 3 и ал. 5 от Закона за управление на отпадъците. </w:t>
      </w:r>
    </w:p>
    <w:p w:rsidR="006877F6" w:rsidRDefault="006877F6" w:rsidP="006877F6">
      <w:pPr>
        <w:shd w:val="clear" w:color="auto" w:fill="FFFFFF"/>
        <w:ind w:firstLine="709"/>
        <w:jc w:val="both"/>
        <w:textAlignment w:val="baseline"/>
      </w:pPr>
      <w:r>
        <w:rPr>
          <w:bdr w:val="none" w:sz="0" w:space="0" w:color="auto" w:frame="1"/>
        </w:rPr>
        <w:t>Съгласно чл. 35, ал.1 от ЗУО</w:t>
      </w:r>
      <w:r w:rsidRPr="001C3932">
        <w:rPr>
          <w:bdr w:val="none" w:sz="0" w:space="0" w:color="auto" w:frame="1"/>
        </w:rPr>
        <w:t>, за извършване на дейностите по третиране на отпадъци се изисква разрешение, издадено по реда на глава пета, раздел първи или комплексно разрешително, издадено по реда на глава седма, раздел втори от Закона за опазване на околната среда.</w:t>
      </w:r>
      <w:r>
        <w:t xml:space="preserve"> </w:t>
      </w:r>
      <w:r>
        <w:rPr>
          <w:bdr w:val="none" w:sz="0" w:space="0" w:color="auto" w:frame="1"/>
        </w:rPr>
        <w:t xml:space="preserve">В </w:t>
      </w:r>
      <w:r w:rsidRPr="001C3932">
        <w:rPr>
          <w:bdr w:val="none" w:sz="0" w:space="0" w:color="auto" w:frame="1"/>
        </w:rPr>
        <w:t>ал.2 са посочени случаите, в които не се изисква разрешение, а именно: </w:t>
      </w:r>
      <w:r>
        <w:rPr>
          <w:bdr w:val="none" w:sz="0" w:space="0" w:color="auto" w:frame="1"/>
        </w:rPr>
        <w:t xml:space="preserve">„т. </w:t>
      </w:r>
      <w:r w:rsidRPr="001C3932">
        <w:rPr>
          <w:bdr w:val="none" w:sz="0" w:space="0" w:color="auto" w:frame="1"/>
        </w:rPr>
        <w:t>2.</w:t>
      </w:r>
      <w:r>
        <w:rPr>
          <w:bdr w:val="none" w:sz="0" w:space="0" w:color="auto" w:frame="1"/>
        </w:rPr>
        <w:t xml:space="preserve"> </w:t>
      </w:r>
      <w:r w:rsidRPr="001C3932">
        <w:rPr>
          <w:bdr w:val="none" w:sz="0" w:space="0" w:color="auto" w:frame="1"/>
        </w:rPr>
        <w:t>за събиране и транспортиране на отпадъци по смисъла на § 1, т.41 и 43 от допълнителните разпоредби</w:t>
      </w:r>
      <w:r>
        <w:rPr>
          <w:bdr w:val="none" w:sz="0" w:space="0" w:color="auto" w:frame="1"/>
        </w:rPr>
        <w:t xml:space="preserve">”. </w:t>
      </w:r>
      <w:r w:rsidRPr="001C3932">
        <w:rPr>
          <w:bdr w:val="none" w:sz="0" w:space="0" w:color="auto" w:frame="1"/>
        </w:rPr>
        <w:t>В Допълнителните разпоредби на ЗУО са дадени дефиниции на използваните в закона понятие и термини.</w:t>
      </w:r>
      <w:r>
        <w:t xml:space="preserve"> </w:t>
      </w:r>
      <w:r w:rsidRPr="001C3932">
        <w:rPr>
          <w:bdr w:val="none" w:sz="0" w:space="0" w:color="auto" w:frame="1"/>
        </w:rPr>
        <w:t>Според §1, т.</w:t>
      </w:r>
      <w:r>
        <w:rPr>
          <w:bdr w:val="none" w:sz="0" w:space="0" w:color="auto" w:frame="1"/>
        </w:rPr>
        <w:t xml:space="preserve"> </w:t>
      </w:r>
      <w:r w:rsidRPr="001C3932">
        <w:rPr>
          <w:bdr w:val="none" w:sz="0" w:space="0" w:color="auto" w:frame="1"/>
        </w:rPr>
        <w:t>41 от ДР на ЗУО, „събиране“ е натрупване на отпадъци, включително предварително сортиране и предварително съхраняване на отпадъци с цел транспортирането им до съоръжение за третиране на отпадъци.</w:t>
      </w:r>
      <w:r>
        <w:t xml:space="preserve"> </w:t>
      </w:r>
      <w:r w:rsidRPr="001C3932">
        <w:rPr>
          <w:bdr w:val="none" w:sz="0" w:space="0" w:color="auto" w:frame="1"/>
        </w:rPr>
        <w:t>Съобразно §1, т.43 от ДР на ЗУО, „транспортиране“ е превозът на отпадъци, включително съпътстващите го дейности по товарене, претоварване и разтоварване, когато се извършва от оператора като самостоятелна дейност.</w:t>
      </w:r>
    </w:p>
    <w:p w:rsidR="006877F6" w:rsidRPr="006564D3" w:rsidRDefault="006877F6" w:rsidP="006877F6">
      <w:pPr>
        <w:shd w:val="clear" w:color="auto" w:fill="FFFFFF"/>
        <w:ind w:firstLine="709"/>
        <w:jc w:val="both"/>
        <w:textAlignment w:val="baseline"/>
      </w:pPr>
      <w:r w:rsidRPr="006564D3">
        <w:rPr>
          <w:bdr w:val="none" w:sz="0" w:space="0" w:color="auto" w:frame="1"/>
        </w:rPr>
        <w:t>Съобразно чл. 35, ал.3 от ЗУО, за извършване на дейностите по ал.2, т. 2-5 се изисква регистрация и издаване на документ по реда на глава пета, раздел втори.</w:t>
      </w:r>
      <w:r w:rsidRPr="006564D3">
        <w:t xml:space="preserve"> </w:t>
      </w:r>
      <w:r w:rsidRPr="006564D3">
        <w:rPr>
          <w:bdr w:val="none" w:sz="0" w:space="0" w:color="auto" w:frame="1"/>
        </w:rPr>
        <w:t>В чл. 35, ал. 5 е постановено, че регистрационният документ да дейности по ал.2, т.2 се издава самостоятелно от останалите разрешителни и регистрационни документи.</w:t>
      </w:r>
      <w:r w:rsidRPr="006564D3">
        <w:t xml:space="preserve"> </w:t>
      </w:r>
      <w:r w:rsidRPr="006564D3">
        <w:rPr>
          <w:color w:val="000000"/>
          <w:szCs w:val="26"/>
        </w:rPr>
        <w:t>Режимът на дейностите по §1, т.41 от ДР на ЗУО не е разрешителен (лицензионен), а регистрационен. Разрешително се изисква само за дейностите по чл.35, ал.1 от ЗУО.</w:t>
      </w:r>
    </w:p>
    <w:p w:rsidR="006877F6" w:rsidRPr="006877F6" w:rsidRDefault="00F00BC3" w:rsidP="006564D3">
      <w:pPr>
        <w:ind w:firstLine="709"/>
        <w:jc w:val="both"/>
        <w:rPr>
          <w:b/>
          <w:i/>
          <w:lang w:eastAsia="en-US"/>
        </w:rPr>
      </w:pPr>
      <w:r>
        <w:t>Необходимо е да бъдат отменени текстовете в раздел „Контрол и Административно-наказателни разпоредби”, а именно от чл. 65 до чл. 70 включително от действащата Наредба поради противоречие с чл. 22</w:t>
      </w:r>
      <w:r w:rsidR="00E65F29">
        <w:t xml:space="preserve"> от Закона за управление на отпадъците. </w:t>
      </w:r>
      <w:r w:rsidR="00C54024">
        <w:t xml:space="preserve">Състави на административни нарушения и наказания се съдържат в самия ЗУО. </w:t>
      </w:r>
      <w:r w:rsidR="006564D3">
        <w:t>П</w:t>
      </w:r>
      <w:r w:rsidR="006877F6" w:rsidRPr="006564D3">
        <w:rPr>
          <w:color w:val="000000"/>
          <w:bdr w:val="none" w:sz="0" w:space="0" w:color="auto" w:frame="1"/>
          <w:shd w:val="clear" w:color="auto" w:fill="FFFFFF"/>
        </w:rPr>
        <w:t xml:space="preserve">равомощията на Общинския съвет по чл.22 ЗУО не включват правомощия по приемане на наредба, в която да се определят наказания за неизпълнение на задължения във връзка с управление на отпадъците. </w:t>
      </w:r>
    </w:p>
    <w:p w:rsidR="00F00BC3" w:rsidRPr="00C54024" w:rsidRDefault="00C54024" w:rsidP="00B82D39">
      <w:pPr>
        <w:ind w:firstLine="709"/>
        <w:jc w:val="both"/>
        <w:rPr>
          <w:lang w:eastAsia="en-US"/>
        </w:rPr>
      </w:pPr>
      <w:r>
        <w:rPr>
          <w:lang w:eastAsia="en-US"/>
        </w:rPr>
        <w:t>В подкрепа на изложеното са и следните съдебни решения: Решение № 15898/19.12.2018 г. по а.д. 5466/18 г. на Шесто</w:t>
      </w:r>
      <w:r>
        <w:rPr>
          <w:lang w:val="en-US" w:eastAsia="en-US"/>
        </w:rPr>
        <w:t xml:space="preserve"> </w:t>
      </w:r>
      <w:r>
        <w:rPr>
          <w:lang w:eastAsia="en-US"/>
        </w:rPr>
        <w:t>отделение на ВАС; Решение № 13/11.02.2019 г. по а.д. 1196/18 г. по описа на АС-Хасково; Решение от 15.02.2019 г. по а.д. № 225/18 г. по описа на АС-Ловеч; Решение № 28/13.02.2019 г. по а.д. № 1002/18 г. по описа на АС-Пазарджик; Решение № 948/05.10.2018 г. по а.д. № 482/18 г. по описа на АС София област.</w:t>
      </w:r>
    </w:p>
    <w:p w:rsidR="00F00BC3" w:rsidRPr="00F00BC3" w:rsidRDefault="00F00BC3" w:rsidP="00B82D39">
      <w:pPr>
        <w:ind w:firstLine="709"/>
        <w:jc w:val="both"/>
        <w:rPr>
          <w:b/>
          <w:lang w:eastAsia="en-US"/>
        </w:rPr>
      </w:pPr>
    </w:p>
    <w:p w:rsidR="00C54024" w:rsidRDefault="00C54024" w:rsidP="00B82D39">
      <w:pPr>
        <w:ind w:firstLine="709"/>
        <w:jc w:val="both"/>
        <w:rPr>
          <w:b/>
          <w:lang w:eastAsia="en-US"/>
        </w:rPr>
      </w:pPr>
      <w:r>
        <w:rPr>
          <w:b/>
          <w:lang w:val="en-US" w:eastAsia="en-US"/>
        </w:rPr>
        <w:lastRenderedPageBreak/>
        <w:t>I</w:t>
      </w:r>
      <w:r w:rsidR="00B82D39">
        <w:rPr>
          <w:b/>
          <w:lang w:val="en-US" w:eastAsia="en-US"/>
        </w:rPr>
        <w:t xml:space="preserve">I. </w:t>
      </w:r>
      <w:r>
        <w:rPr>
          <w:b/>
          <w:lang w:eastAsia="en-US"/>
        </w:rPr>
        <w:t>Основни цели, които се поставят.</w:t>
      </w:r>
    </w:p>
    <w:p w:rsidR="00C54024" w:rsidRDefault="00C54024" w:rsidP="00BB60AF">
      <w:pPr>
        <w:ind w:firstLine="709"/>
        <w:jc w:val="both"/>
      </w:pPr>
      <w:r>
        <w:rPr>
          <w:lang w:eastAsia="en-US"/>
        </w:rPr>
        <w:t xml:space="preserve">Приемането на изменения и допълнение на </w:t>
      </w:r>
      <w:r w:rsidRPr="001C3932">
        <w:t>Наредба</w:t>
      </w:r>
      <w:r>
        <w:t>та</w:t>
      </w:r>
      <w:r w:rsidRPr="001C3932">
        <w:t xml:space="preserve"> за управление на отпадъците на територията на община Хитрино</w:t>
      </w:r>
      <w:r>
        <w:t xml:space="preserve"> има за цел да синхронизира действащата Наредба и да я приведе в съответствие с нормативни актове от по-висока степен.</w:t>
      </w:r>
    </w:p>
    <w:p w:rsidR="00C54024" w:rsidRDefault="00C54024" w:rsidP="00B82D39">
      <w:pPr>
        <w:ind w:firstLine="709"/>
        <w:jc w:val="both"/>
        <w:rPr>
          <w:lang w:eastAsia="en-US"/>
        </w:rPr>
      </w:pPr>
      <w:r>
        <w:rPr>
          <w:b/>
          <w:lang w:val="en-US" w:eastAsia="en-US"/>
        </w:rPr>
        <w:t>I</w:t>
      </w:r>
      <w:r w:rsidR="00B82D39">
        <w:rPr>
          <w:b/>
          <w:lang w:val="en-US" w:eastAsia="en-US"/>
        </w:rPr>
        <w:t>II.</w:t>
      </w:r>
      <w:r w:rsidR="00B82D39">
        <w:rPr>
          <w:lang w:val="en-US" w:eastAsia="en-US"/>
        </w:rPr>
        <w:t xml:space="preserve"> </w:t>
      </w:r>
      <w:r w:rsidR="00B82D39" w:rsidRPr="004E2D46">
        <w:rPr>
          <w:b/>
          <w:lang w:eastAsia="en-US"/>
        </w:rPr>
        <w:t>Финансови и други</w:t>
      </w:r>
      <w:r w:rsidR="00B82D39">
        <w:rPr>
          <w:lang w:eastAsia="en-US"/>
        </w:rPr>
        <w:t xml:space="preserve"> </w:t>
      </w:r>
      <w:r w:rsidR="00B82D39" w:rsidRPr="004E2D46">
        <w:rPr>
          <w:b/>
          <w:lang w:eastAsia="en-US"/>
        </w:rPr>
        <w:t>средства за прилагане изискванията на наредбата</w:t>
      </w:r>
      <w:r>
        <w:rPr>
          <w:lang w:eastAsia="en-US"/>
        </w:rPr>
        <w:t>.</w:t>
      </w:r>
    </w:p>
    <w:p w:rsidR="00C54024" w:rsidRDefault="00C54024" w:rsidP="00BB60AF">
      <w:pPr>
        <w:ind w:firstLine="709"/>
        <w:jc w:val="both"/>
        <w:rPr>
          <w:lang w:eastAsia="en-US"/>
        </w:rPr>
      </w:pPr>
      <w:r>
        <w:rPr>
          <w:lang w:eastAsia="en-US"/>
        </w:rPr>
        <w:t>Не се предвижда да бъдат ангажирани финансови средства по прилагането на Наредбата.</w:t>
      </w:r>
    </w:p>
    <w:p w:rsidR="00C54024" w:rsidRDefault="00C54024" w:rsidP="00B82D39">
      <w:pPr>
        <w:ind w:firstLine="709"/>
        <w:jc w:val="both"/>
        <w:rPr>
          <w:b/>
          <w:lang w:eastAsia="en-US"/>
        </w:rPr>
      </w:pPr>
      <w:r>
        <w:rPr>
          <w:b/>
          <w:lang w:val="en-US" w:eastAsia="en-US"/>
        </w:rPr>
        <w:t>IV</w:t>
      </w:r>
      <w:r w:rsidR="00B82D39" w:rsidRPr="004E2D46">
        <w:rPr>
          <w:b/>
          <w:lang w:val="en-US" w:eastAsia="en-US"/>
        </w:rPr>
        <w:t xml:space="preserve">. </w:t>
      </w:r>
      <w:r w:rsidR="00B82D39" w:rsidRPr="004E2D46">
        <w:rPr>
          <w:b/>
          <w:lang w:eastAsia="en-US"/>
        </w:rPr>
        <w:t>Очаквани резултати</w:t>
      </w:r>
      <w:r>
        <w:rPr>
          <w:b/>
          <w:lang w:eastAsia="en-US"/>
        </w:rPr>
        <w:t>.</w:t>
      </w:r>
    </w:p>
    <w:p w:rsidR="00C54024" w:rsidRDefault="00C54024" w:rsidP="00BB60AF">
      <w:pPr>
        <w:ind w:firstLine="709"/>
        <w:jc w:val="both"/>
        <w:rPr>
          <w:lang w:eastAsia="en-US"/>
        </w:rPr>
      </w:pPr>
      <w:r>
        <w:rPr>
          <w:lang w:eastAsia="en-US"/>
        </w:rPr>
        <w:t>Постигане на съответствие на действащата подзаконова нормативна уредба с приложимото в тази област национално законодателство от по-висока степен и създаване на стабилна подзаконова нормативна уредба</w:t>
      </w:r>
    </w:p>
    <w:p w:rsidR="00B82D39" w:rsidRPr="004E2D46" w:rsidRDefault="00B82D39" w:rsidP="00B82D39">
      <w:pPr>
        <w:ind w:firstLine="709"/>
        <w:jc w:val="both"/>
        <w:rPr>
          <w:lang w:eastAsia="en-US"/>
        </w:rPr>
      </w:pPr>
      <w:r w:rsidRPr="004E2D46">
        <w:rPr>
          <w:b/>
          <w:lang w:val="en-US" w:eastAsia="en-US"/>
        </w:rPr>
        <w:t xml:space="preserve">V. </w:t>
      </w:r>
      <w:r w:rsidRPr="004E2D46">
        <w:rPr>
          <w:b/>
          <w:lang w:eastAsia="en-US"/>
        </w:rPr>
        <w:t>Съответствие с правото на Европейския съюз:</w:t>
      </w:r>
      <w:r>
        <w:rPr>
          <w:lang w:eastAsia="en-US"/>
        </w:rPr>
        <w:t xml:space="preserve"> предложените изменения и допълнения са в съответствие с разпоредбите на европейското законодателство.</w:t>
      </w:r>
    </w:p>
    <w:p w:rsidR="00B82D39" w:rsidRPr="00C35293" w:rsidRDefault="00B82D39" w:rsidP="006877F6">
      <w:pPr>
        <w:rPr>
          <w:sz w:val="22"/>
        </w:rPr>
      </w:pPr>
    </w:p>
    <w:p w:rsidR="00B82D39" w:rsidRPr="00B82D39" w:rsidRDefault="00B82D39" w:rsidP="00B82D39">
      <w:pPr>
        <w:ind w:firstLine="708"/>
        <w:jc w:val="both"/>
        <w:rPr>
          <w:b/>
        </w:rPr>
      </w:pPr>
    </w:p>
    <w:sectPr w:rsidR="00B82D39" w:rsidRPr="00B82D39" w:rsidSect="007E6E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D76B9"/>
    <w:multiLevelType w:val="hybridMultilevel"/>
    <w:tmpl w:val="2FEA82DC"/>
    <w:lvl w:ilvl="0" w:tplc="E91EC02E">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76EA44CC"/>
    <w:multiLevelType w:val="hybridMultilevel"/>
    <w:tmpl w:val="136C5412"/>
    <w:lvl w:ilvl="0" w:tplc="51BAAF7E">
      <w:start w:val="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nsid w:val="7F52367C"/>
    <w:multiLevelType w:val="hybridMultilevel"/>
    <w:tmpl w:val="4E92CD40"/>
    <w:lvl w:ilvl="0" w:tplc="CFA2231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82D39"/>
    <w:rsid w:val="000800D5"/>
    <w:rsid w:val="00080F4C"/>
    <w:rsid w:val="00214320"/>
    <w:rsid w:val="00245E9E"/>
    <w:rsid w:val="002F39D6"/>
    <w:rsid w:val="003977C6"/>
    <w:rsid w:val="004C753B"/>
    <w:rsid w:val="0052126A"/>
    <w:rsid w:val="00560303"/>
    <w:rsid w:val="00570CD2"/>
    <w:rsid w:val="00626FD9"/>
    <w:rsid w:val="006564D3"/>
    <w:rsid w:val="006877F6"/>
    <w:rsid w:val="007E6E1E"/>
    <w:rsid w:val="00870910"/>
    <w:rsid w:val="00877330"/>
    <w:rsid w:val="00A33511"/>
    <w:rsid w:val="00AB3ED9"/>
    <w:rsid w:val="00AF0C88"/>
    <w:rsid w:val="00B82D39"/>
    <w:rsid w:val="00BA25F8"/>
    <w:rsid w:val="00BB60AF"/>
    <w:rsid w:val="00BB76BE"/>
    <w:rsid w:val="00C35293"/>
    <w:rsid w:val="00C54024"/>
    <w:rsid w:val="00D9074F"/>
    <w:rsid w:val="00E16BCB"/>
    <w:rsid w:val="00E65F29"/>
    <w:rsid w:val="00EA60A2"/>
    <w:rsid w:val="00EC1F39"/>
    <w:rsid w:val="00F0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39"/>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B82D39"/>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D39"/>
    <w:rPr>
      <w:rFonts w:ascii="Arial" w:eastAsia="Times New Roman" w:hAnsi="Arial" w:cs="Arial"/>
      <w:b/>
      <w:bCs/>
      <w:kern w:val="32"/>
      <w:sz w:val="32"/>
      <w:szCs w:val="32"/>
      <w:lang w:val="en-US"/>
    </w:rPr>
  </w:style>
  <w:style w:type="character" w:styleId="Hyperlink">
    <w:name w:val="Hyperlink"/>
    <w:basedOn w:val="DefaultParagraphFont"/>
    <w:rsid w:val="00B82D39"/>
    <w:rPr>
      <w:color w:val="0000FF"/>
      <w:u w:val="single"/>
    </w:rPr>
  </w:style>
  <w:style w:type="table" w:styleId="TableGrid">
    <w:name w:val="Table Grid"/>
    <w:basedOn w:val="TableNormal"/>
    <w:rsid w:val="00B82D3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25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met@hitrin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2019-06-04T08:35:00Z</dcterms:created>
  <dcterms:modified xsi:type="dcterms:W3CDTF">2019-06-04T08:35:00Z</dcterms:modified>
</cp:coreProperties>
</file>